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27" w:rsidRDefault="007F013E">
      <w:pPr>
        <w:pStyle w:val="Szvegtrzs"/>
        <w:ind w:left="106"/>
        <w:rPr>
          <w:rFonts w:ascii="Times New Roman"/>
        </w:rPr>
      </w:pPr>
      <w:r>
        <w:rPr>
          <w:rFonts w:ascii="Times New Roman"/>
          <w:noProof/>
          <w:lang w:eastAsia="hu-HU" w:bidi="ar-SA"/>
        </w:rPr>
        <w:drawing>
          <wp:inline distT="0" distB="0" distL="0" distR="0">
            <wp:extent cx="4138030" cy="476250"/>
            <wp:effectExtent l="0" t="0" r="0" b="0"/>
            <wp:docPr id="1" name="image1.jpeg" descr="Une image contenant ciel, objet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0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527" w:rsidRDefault="00D94527">
      <w:pPr>
        <w:pStyle w:val="Szvegtrzs"/>
        <w:rPr>
          <w:rFonts w:ascii="Times New Roman"/>
        </w:rPr>
      </w:pPr>
    </w:p>
    <w:p w:rsidR="00D94527" w:rsidRDefault="00D94527">
      <w:pPr>
        <w:pStyle w:val="Szvegtrzs"/>
        <w:rPr>
          <w:rFonts w:ascii="Times New Roman"/>
          <w:sz w:val="24"/>
        </w:rPr>
      </w:pPr>
    </w:p>
    <w:p w:rsidR="00D94527" w:rsidRDefault="007F013E">
      <w:pPr>
        <w:spacing w:before="93" w:line="276" w:lineRule="auto"/>
        <w:ind w:left="1015" w:right="379" w:hanging="2"/>
        <w:jc w:val="center"/>
        <w:rPr>
          <w:b/>
          <w:sz w:val="24"/>
        </w:rPr>
      </w:pPr>
      <w:bookmarkStart w:id="0" w:name="Resolution_of_the_ACE_General_Assembly_0"/>
      <w:bookmarkEnd w:id="0"/>
      <w:r>
        <w:rPr>
          <w:b/>
          <w:sz w:val="24"/>
        </w:rPr>
        <w:t>Az Építészek Európai Tanácsa Közgyűlésének határozata az Európai Bíróság által a német Építész- és Mérnöki Díjszabással (HOAI) kapcsolatos kötelezettségszegési eljárásban hozott ítéletről – 2019. július 4. (C- 377/17)</w:t>
      </w:r>
    </w:p>
    <w:p w:rsidR="00D94527" w:rsidRDefault="00D94527">
      <w:pPr>
        <w:pStyle w:val="Szvegtrzs"/>
        <w:rPr>
          <w:b/>
          <w:sz w:val="26"/>
        </w:rPr>
      </w:pPr>
    </w:p>
    <w:p w:rsidR="00D94527" w:rsidRDefault="00D94527">
      <w:pPr>
        <w:pStyle w:val="Szvegtrzs"/>
        <w:spacing w:before="9"/>
        <w:rPr>
          <w:b/>
          <w:sz w:val="25"/>
        </w:rPr>
      </w:pPr>
    </w:p>
    <w:p w:rsidR="00D94527" w:rsidRDefault="007F013E">
      <w:pPr>
        <w:pStyle w:val="Szvegtrzs"/>
        <w:spacing w:line="276" w:lineRule="auto"/>
        <w:ind w:left="755" w:right="110"/>
        <w:jc w:val="both"/>
      </w:pPr>
      <w:r>
        <w:t xml:space="preserve">Az Építészek Európai Tanácsa Közgyűlése üdvözli, hogy az Európai Bíróság (European </w:t>
      </w:r>
      <w:proofErr w:type="spellStart"/>
      <w:r>
        <w:t>Court</w:t>
      </w:r>
      <w:proofErr w:type="spellEnd"/>
      <w:r>
        <w:t xml:space="preserve"> of </w:t>
      </w:r>
      <w:proofErr w:type="spellStart"/>
      <w:r>
        <w:t>Justice</w:t>
      </w:r>
      <w:proofErr w:type="spellEnd"/>
      <w:r>
        <w:t>) az Európai Bizottság által Németországgal szemben a német Építész- és Mérnöki Díjszabás (</w:t>
      </w:r>
      <w:r w:rsidR="00C925EE">
        <w:t xml:space="preserve">HOAI) szerinti kötelező minimál és maximál </w:t>
      </w:r>
      <w:r>
        <w:t>árral kapcsolatban kezdeményezett kötelezettségszegési eljárásban hozott ítéletében új lehetőségeket emelt ki a szakmai szabályozás igazolására és indokolására.</w:t>
      </w:r>
    </w:p>
    <w:p w:rsidR="00D94527" w:rsidRDefault="00D94527">
      <w:pPr>
        <w:pStyle w:val="Szvegtrzs"/>
        <w:spacing w:before="2"/>
      </w:pPr>
    </w:p>
    <w:p w:rsidR="00D94527" w:rsidRDefault="007F013E">
      <w:pPr>
        <w:pStyle w:val="Szvegtrzs"/>
        <w:spacing w:before="1"/>
        <w:ind w:left="755"/>
        <w:jc w:val="both"/>
      </w:pPr>
      <w:r>
        <w:t>A Közgyűlés üdvözli, hogy az ítélet indokolásában az Európai Bíróság:</w:t>
      </w:r>
    </w:p>
    <w:p w:rsidR="00D94527" w:rsidRDefault="00D94527">
      <w:pPr>
        <w:pStyle w:val="Szvegtrzs"/>
        <w:rPr>
          <w:sz w:val="26"/>
        </w:rPr>
      </w:pPr>
    </w:p>
    <w:p w:rsidR="00D94527" w:rsidRDefault="007F013E">
      <w:pPr>
        <w:pStyle w:val="Listaszerbekezds"/>
        <w:numPr>
          <w:ilvl w:val="0"/>
          <w:numId w:val="1"/>
        </w:numPr>
        <w:tabs>
          <w:tab w:val="left" w:pos="1476"/>
        </w:tabs>
        <w:spacing w:before="1" w:line="276" w:lineRule="auto"/>
        <w:ind w:right="118"/>
        <w:jc w:val="both"/>
        <w:rPr>
          <w:sz w:val="20"/>
        </w:rPr>
      </w:pPr>
      <w:r>
        <w:rPr>
          <w:sz w:val="20"/>
        </w:rPr>
        <w:t>tudomásul veszi, hogy az épített környezet minőségének megőrzése (röviden: „</w:t>
      </w:r>
      <w:proofErr w:type="spellStart"/>
      <w:r>
        <w:rPr>
          <w:sz w:val="20"/>
        </w:rPr>
        <w:t>Baukultur</w:t>
      </w:r>
      <w:proofErr w:type="spellEnd"/>
      <w:r>
        <w:rPr>
          <w:sz w:val="20"/>
        </w:rPr>
        <w:t>”), valamint a tervezési munka minőségéhez közvetlenül kapcsolódó ökologikus építészet közérdek, és ezért az Európai Parlament és a Tanács 2006/123/EK irányelve meghatározásai szerint (</w:t>
      </w:r>
      <w:r w:rsidR="00F36A0F">
        <w:rPr>
          <w:sz w:val="20"/>
        </w:rPr>
        <w:t xml:space="preserve"> </w:t>
      </w:r>
      <w:r>
        <w:rPr>
          <w:sz w:val="20"/>
        </w:rPr>
        <w:t>2006. december 12.</w:t>
      </w:r>
      <w:r w:rsidR="00F36A0F">
        <w:rPr>
          <w:sz w:val="20"/>
        </w:rPr>
        <w:t xml:space="preserve"> </w:t>
      </w:r>
      <w:r>
        <w:rPr>
          <w:sz w:val="20"/>
        </w:rPr>
        <w:t xml:space="preserve">) közérdeken alapuló kényszerítő okokat testesít meg, azaz: </w:t>
      </w:r>
    </w:p>
    <w:p w:rsidR="00D94527" w:rsidRDefault="007F013E">
      <w:pPr>
        <w:pStyle w:val="Listaszerbekezds"/>
        <w:numPr>
          <w:ilvl w:val="1"/>
          <w:numId w:val="1"/>
        </w:numPr>
        <w:tabs>
          <w:tab w:val="left" w:pos="2195"/>
          <w:tab w:val="left" w:pos="2196"/>
        </w:tabs>
        <w:spacing w:line="245" w:lineRule="exact"/>
        <w:rPr>
          <w:sz w:val="20"/>
        </w:rPr>
      </w:pPr>
      <w:r>
        <w:rPr>
          <w:sz w:val="20"/>
        </w:rPr>
        <w:t>a munka minősége</w:t>
      </w:r>
    </w:p>
    <w:p w:rsidR="00D94527" w:rsidRDefault="007F013E">
      <w:pPr>
        <w:pStyle w:val="Listaszerbekezds"/>
        <w:numPr>
          <w:ilvl w:val="1"/>
          <w:numId w:val="1"/>
        </w:numPr>
        <w:tabs>
          <w:tab w:val="left" w:pos="2195"/>
          <w:tab w:val="left" w:pos="2196"/>
        </w:tabs>
        <w:spacing w:before="17"/>
        <w:rPr>
          <w:sz w:val="20"/>
        </w:rPr>
      </w:pPr>
      <w:r>
        <w:rPr>
          <w:sz w:val="20"/>
        </w:rPr>
        <w:t xml:space="preserve">a fogyasztók és a szolgáltatások kedvezményezettjeinek védelme </w:t>
      </w:r>
    </w:p>
    <w:p w:rsidR="00D94527" w:rsidRDefault="007F013E">
      <w:pPr>
        <w:pStyle w:val="Listaszerbekezds"/>
        <w:numPr>
          <w:ilvl w:val="1"/>
          <w:numId w:val="1"/>
        </w:numPr>
        <w:tabs>
          <w:tab w:val="left" w:pos="2195"/>
          <w:tab w:val="left" w:pos="2196"/>
        </w:tabs>
        <w:spacing w:before="17"/>
        <w:rPr>
          <w:sz w:val="20"/>
        </w:rPr>
      </w:pPr>
      <w:r>
        <w:rPr>
          <w:sz w:val="20"/>
        </w:rPr>
        <w:t>a kulturális örökség megőrzése</w:t>
      </w:r>
    </w:p>
    <w:p w:rsidR="00D94527" w:rsidRDefault="007F013E">
      <w:pPr>
        <w:pStyle w:val="Listaszerbekezds"/>
        <w:numPr>
          <w:ilvl w:val="1"/>
          <w:numId w:val="1"/>
        </w:numPr>
        <w:tabs>
          <w:tab w:val="left" w:pos="2195"/>
          <w:tab w:val="left" w:pos="2196"/>
        </w:tabs>
        <w:spacing w:before="18"/>
        <w:rPr>
          <w:sz w:val="20"/>
        </w:rPr>
      </w:pPr>
      <w:r>
        <w:rPr>
          <w:sz w:val="20"/>
        </w:rPr>
        <w:t>kultúrpolitikák</w:t>
      </w:r>
    </w:p>
    <w:p w:rsidR="00D94527" w:rsidRDefault="007F013E">
      <w:pPr>
        <w:pStyle w:val="Listaszerbekezds"/>
        <w:numPr>
          <w:ilvl w:val="1"/>
          <w:numId w:val="1"/>
        </w:numPr>
        <w:tabs>
          <w:tab w:val="left" w:pos="2195"/>
          <w:tab w:val="left" w:pos="2196"/>
        </w:tabs>
        <w:spacing w:before="17"/>
        <w:rPr>
          <w:sz w:val="20"/>
        </w:rPr>
      </w:pPr>
      <w:r>
        <w:rPr>
          <w:sz w:val="20"/>
        </w:rPr>
        <w:t>az épületek és a környezet fenntarthatósága</w:t>
      </w:r>
    </w:p>
    <w:p w:rsidR="00D94527" w:rsidRDefault="00D94527">
      <w:pPr>
        <w:pStyle w:val="Szvegtrzs"/>
        <w:spacing w:before="7"/>
        <w:rPr>
          <w:sz w:val="24"/>
        </w:rPr>
      </w:pPr>
    </w:p>
    <w:p w:rsidR="00D94527" w:rsidRDefault="007F013E">
      <w:pPr>
        <w:pStyle w:val="Listaszerbekezds"/>
        <w:numPr>
          <w:ilvl w:val="0"/>
          <w:numId w:val="1"/>
        </w:numPr>
        <w:tabs>
          <w:tab w:val="left" w:pos="1476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kiemeli, hogy a minimum díjak kiszabása megfelelő lehet az épített környezetnek és magának a környezet minőségének a fogyasztóvédelemmel és a közérdekkel összhangban történő biztosítása szempontjából.</w:t>
      </w:r>
    </w:p>
    <w:p w:rsidR="00D94527" w:rsidRDefault="00D94527">
      <w:pPr>
        <w:pStyle w:val="Szvegtrzs"/>
        <w:spacing w:before="9"/>
        <w:rPr>
          <w:sz w:val="22"/>
        </w:rPr>
      </w:pPr>
    </w:p>
    <w:p w:rsidR="00D94527" w:rsidRDefault="007F013E">
      <w:pPr>
        <w:pStyle w:val="Listaszerbekezds"/>
        <w:numPr>
          <w:ilvl w:val="0"/>
          <w:numId w:val="1"/>
        </w:numPr>
        <w:tabs>
          <w:tab w:val="left" w:pos="1476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 xml:space="preserve">hangsúlyozza, hogy ebben az ügyben következetes és koherens rendszer szükséges, melyben egyes feladatokat a megfelelő magas szinten kvalifikált személyek nyújtják, ideértve a mennyiségi és a minőségi képzési előírásokat. </w:t>
      </w:r>
    </w:p>
    <w:p w:rsidR="00D94527" w:rsidRDefault="00D94527">
      <w:pPr>
        <w:pStyle w:val="Szvegtrzs"/>
        <w:spacing w:before="2"/>
        <w:rPr>
          <w:sz w:val="23"/>
        </w:rPr>
      </w:pPr>
    </w:p>
    <w:p w:rsidR="00D94527" w:rsidRDefault="007F013E">
      <w:pPr>
        <w:pStyle w:val="Listaszerbekezds"/>
        <w:numPr>
          <w:ilvl w:val="0"/>
          <w:numId w:val="1"/>
        </w:numPr>
        <w:tabs>
          <w:tab w:val="left" w:pos="1476"/>
        </w:tabs>
        <w:spacing w:line="276" w:lineRule="auto"/>
        <w:ind w:right="123"/>
        <w:jc w:val="both"/>
        <w:rPr>
          <w:sz w:val="20"/>
        </w:rPr>
      </w:pPr>
      <w:r>
        <w:rPr>
          <w:sz w:val="20"/>
        </w:rPr>
        <w:t>hangsúlyozza, hogy egy díjszabás hiányában az egyes konkrét piaci helyzetek árversenyhez vezethetnek a tervezési szolgáltatók között, amely a minőség gyengülését és végső soron a magas minőségű szolgáltatásokat kínáló szereplők piacról történő kiszorulását eredményezi</w:t>
      </w:r>
    </w:p>
    <w:p w:rsidR="00D94527" w:rsidRDefault="00D94527">
      <w:pPr>
        <w:pStyle w:val="Szvegtrzs"/>
        <w:spacing w:before="2"/>
        <w:rPr>
          <w:sz w:val="23"/>
        </w:rPr>
      </w:pPr>
    </w:p>
    <w:p w:rsidR="00D94527" w:rsidRDefault="007F013E">
      <w:pPr>
        <w:pStyle w:val="Listaszerbekezds"/>
        <w:numPr>
          <w:ilvl w:val="0"/>
          <w:numId w:val="1"/>
        </w:numPr>
        <w:tabs>
          <w:tab w:val="left" w:pos="1476"/>
        </w:tabs>
        <w:spacing w:before="1" w:line="273" w:lineRule="auto"/>
        <w:ind w:right="116"/>
        <w:jc w:val="both"/>
        <w:rPr>
          <w:sz w:val="20"/>
        </w:rPr>
      </w:pPr>
      <w:r>
        <w:rPr>
          <w:sz w:val="20"/>
        </w:rPr>
        <w:t xml:space="preserve">aláhúzza, hogy a Tagállamoknak kizárólag azt kell demonstrálniuk, hogy a szabályozásuk nagymértékben hozzá tud járulni a kitűzött célok eléréséhez. A Tagállamoknak azonban nem szükséges ilyen bizonyítékot szolgáltatni. </w:t>
      </w:r>
    </w:p>
    <w:p w:rsidR="00D94527" w:rsidRDefault="00D94527">
      <w:pPr>
        <w:pStyle w:val="Szvegtrzs"/>
        <w:spacing w:before="3"/>
        <w:rPr>
          <w:sz w:val="23"/>
        </w:rPr>
      </w:pPr>
    </w:p>
    <w:p w:rsidR="00D94527" w:rsidRDefault="007F013E">
      <w:pPr>
        <w:pStyle w:val="Szvegtrzs"/>
        <w:spacing w:before="1" w:line="276" w:lineRule="auto"/>
        <w:ind w:left="755" w:right="115"/>
        <w:jc w:val="both"/>
      </w:pPr>
      <w:r>
        <w:t>Az Építészek Európai Tanácsának Közgyűlése üdvözli ezeket a pontokat és ezt a pozitív megközelítést, mivel ez a</w:t>
      </w:r>
      <w:r w:rsidR="00F36A0F">
        <w:t xml:space="preserve"> „</w:t>
      </w:r>
      <w:proofErr w:type="spellStart"/>
      <w:r w:rsidR="00F36A0F">
        <w:t>Baukultur</w:t>
      </w:r>
      <w:proofErr w:type="spellEnd"/>
      <w:r w:rsidR="00F36A0F">
        <w:t>”</w:t>
      </w:r>
      <w:r>
        <w:t>, a fenntarthatóság és a fogyasztóvédelem, valamint a magas minőségű szolgáltatások kulcsfontosságú szerepét hangsúlyozza.</w:t>
      </w:r>
    </w:p>
    <w:p w:rsidR="00D94527" w:rsidRDefault="00D94527">
      <w:pPr>
        <w:pStyle w:val="Szvegtrzs"/>
        <w:rPr>
          <w:sz w:val="22"/>
        </w:rPr>
      </w:pPr>
    </w:p>
    <w:p w:rsidR="00D94527" w:rsidRDefault="00D94527">
      <w:pPr>
        <w:pStyle w:val="Szvegtrzs"/>
        <w:spacing w:before="3"/>
        <w:rPr>
          <w:sz w:val="24"/>
        </w:rPr>
      </w:pPr>
    </w:p>
    <w:p w:rsidR="00D94527" w:rsidRDefault="007F013E">
      <w:pPr>
        <w:pStyle w:val="Szvegtrzs"/>
        <w:ind w:left="755"/>
        <w:jc w:val="both"/>
      </w:pPr>
      <w:r>
        <w:t xml:space="preserve">Barcelona, </w:t>
      </w:r>
      <w:bookmarkStart w:id="1" w:name="_GoBack"/>
      <w:bookmarkEnd w:id="1"/>
      <w:r>
        <w:t xml:space="preserve">2019. november 22. </w:t>
      </w:r>
    </w:p>
    <w:sectPr w:rsidR="00D94527" w:rsidSect="00547112">
      <w:type w:val="continuous"/>
      <w:pgSz w:w="11900" w:h="16840"/>
      <w:pgMar w:top="700" w:right="1300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2FF1"/>
    <w:multiLevelType w:val="hybridMultilevel"/>
    <w:tmpl w:val="D00E248C"/>
    <w:lvl w:ilvl="0" w:tplc="9A149F2A">
      <w:numFmt w:val="bullet"/>
      <w:lvlText w:val="-"/>
      <w:lvlJc w:val="left"/>
      <w:pPr>
        <w:ind w:left="1476" w:hanging="360"/>
      </w:pPr>
      <w:rPr>
        <w:rFonts w:ascii="Arial" w:eastAsia="Arial" w:hAnsi="Arial" w:cs="Arial" w:hint="default"/>
        <w:spacing w:val="-99"/>
        <w:sz w:val="20"/>
        <w:szCs w:val="20"/>
        <w:lang w:val="en-US" w:eastAsia="en-US" w:bidi="en-US"/>
      </w:rPr>
    </w:lvl>
    <w:lvl w:ilvl="1" w:tplc="96BE947C">
      <w:numFmt w:val="bullet"/>
      <w:lvlText w:val="o"/>
      <w:lvlJc w:val="left"/>
      <w:pPr>
        <w:ind w:left="2196" w:hanging="360"/>
      </w:pPr>
      <w:rPr>
        <w:rFonts w:ascii="Courier New" w:eastAsia="Courier New" w:hAnsi="Courier New" w:cs="Courier New" w:hint="default"/>
        <w:sz w:val="20"/>
        <w:szCs w:val="20"/>
        <w:lang w:val="en-US" w:eastAsia="en-US" w:bidi="en-US"/>
      </w:rPr>
    </w:lvl>
    <w:lvl w:ilvl="2" w:tplc="F244AE0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en-US"/>
      </w:rPr>
    </w:lvl>
    <w:lvl w:ilvl="3" w:tplc="60B805F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en-US"/>
      </w:rPr>
    </w:lvl>
    <w:lvl w:ilvl="4" w:tplc="41EA3FBA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5" w:tplc="4C048E8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E35256D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7" w:tplc="A3126CE8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en-US"/>
      </w:rPr>
    </w:lvl>
    <w:lvl w:ilvl="8" w:tplc="57141612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94527"/>
    <w:rsid w:val="00547112"/>
    <w:rsid w:val="007F013E"/>
    <w:rsid w:val="00AD4E12"/>
    <w:rsid w:val="00C925EE"/>
    <w:rsid w:val="00D94527"/>
    <w:rsid w:val="00F3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112"/>
    <w:rPr>
      <w:rFonts w:ascii="Arial" w:eastAsia="Arial" w:hAnsi="Arial" w:cs="Arial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1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547112"/>
    <w:rPr>
      <w:sz w:val="20"/>
      <w:szCs w:val="20"/>
    </w:rPr>
  </w:style>
  <w:style w:type="paragraph" w:styleId="Listaszerbekezds">
    <w:name w:val="List Paragraph"/>
    <w:basedOn w:val="Norml"/>
    <w:uiPriority w:val="1"/>
    <w:qFormat/>
    <w:rsid w:val="00547112"/>
    <w:pPr>
      <w:ind w:left="1476" w:hanging="360"/>
    </w:pPr>
  </w:style>
  <w:style w:type="paragraph" w:customStyle="1" w:styleId="TableParagraph">
    <w:name w:val="Table Paragraph"/>
    <w:basedOn w:val="Norml"/>
    <w:uiPriority w:val="1"/>
    <w:qFormat/>
    <w:rsid w:val="00547112"/>
  </w:style>
  <w:style w:type="paragraph" w:styleId="Buborkszveg">
    <w:name w:val="Balloon Text"/>
    <w:basedOn w:val="Norml"/>
    <w:link w:val="BuborkszvegChar"/>
    <w:uiPriority w:val="99"/>
    <w:semiHidden/>
    <w:unhideWhenUsed/>
    <w:rsid w:val="00C925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25EE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 Schwab</dc:creator>
  <cp:lastModifiedBy>Ulrich Tamás</cp:lastModifiedBy>
  <cp:revision>4</cp:revision>
  <dcterms:created xsi:type="dcterms:W3CDTF">2020-01-23T21:35:00Z</dcterms:created>
  <dcterms:modified xsi:type="dcterms:W3CDTF">2020-02-17T12:25:00Z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2020-01-23T00:00:00Z</vt:filetime>
  </property>
</Properties>
</file>